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5AB115">
      <w:pPr>
        <w:spacing w:line="1180" w:lineRule="exact"/>
        <w:jc w:val="center"/>
        <w:rPr>
          <w:rFonts w:ascii="方正大标宋简体" w:eastAsia="方正大标宋简体"/>
          <w:color w:val="FF0000"/>
          <w:sz w:val="114"/>
          <w:szCs w:val="114"/>
        </w:rPr>
      </w:pPr>
    </w:p>
    <w:p w14:paraId="09C254FC">
      <w:pPr>
        <w:spacing w:line="1440" w:lineRule="exact"/>
        <w:jc w:val="distribute"/>
        <w:rPr>
          <w:rFonts w:hint="eastAsia" w:ascii="方正大标宋简体" w:hAnsi="方正大标宋简体" w:eastAsia="方正大标宋简体" w:cs="方正大标宋简体"/>
          <w:color w:val="FF0000"/>
          <w:spacing w:val="-34"/>
          <w:w w:val="42"/>
          <w:sz w:val="112"/>
          <w:szCs w:val="112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color w:val="FF0000"/>
          <w:spacing w:val="-34"/>
          <w:w w:val="42"/>
          <w:sz w:val="112"/>
          <w:szCs w:val="112"/>
          <w:lang w:bidi="ar"/>
        </w:rPr>
        <w:t>河南省建设工程质量监督检测行业协会</w:t>
      </w:r>
      <w:r>
        <w:rPr>
          <w:rFonts w:hint="eastAsia" w:ascii="方正大标宋简体" w:hAnsi="方正大标宋简体" w:eastAsia="方正大标宋简体" w:cs="方正大标宋简体"/>
          <w:color w:val="FF0000"/>
          <w:spacing w:val="-34"/>
          <w:w w:val="42"/>
          <w:sz w:val="112"/>
          <w:szCs w:val="112"/>
          <w:lang w:eastAsia="zh-CN" w:bidi="ar"/>
        </w:rPr>
        <w:t>文件</w:t>
      </w:r>
    </w:p>
    <w:p w14:paraId="20FAC588">
      <w:pPr>
        <w:spacing w:line="440" w:lineRule="exact"/>
        <w:jc w:val="center"/>
        <w:rPr>
          <w:rFonts w:hint="eastAsia" w:ascii="仿宋" w:hAnsi="仿宋" w:eastAsia="仿宋" w:cs="仿宋"/>
          <w:sz w:val="30"/>
          <w:szCs w:val="30"/>
        </w:rPr>
      </w:pPr>
    </w:p>
    <w:p w14:paraId="602E0B7E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豫建</w:t>
      </w:r>
      <w:r>
        <w:rPr>
          <w:rFonts w:hint="eastAsia" w:ascii="仿宋_GB2312" w:hAnsi="仿宋_GB2312" w:eastAsia="仿宋_GB2312" w:cs="仿宋_GB2312"/>
          <w:color w:val="000000"/>
          <w:kern w:val="21"/>
          <w:sz w:val="32"/>
          <w:szCs w:val="32"/>
          <w:lang w:bidi="ar"/>
        </w:rPr>
        <w:t>检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协</w:t>
      </w:r>
      <w:r>
        <w:rPr>
          <w:rFonts w:hint="eastAsia" w:ascii="仿宋_GB2312" w:hAnsi="宋体" w:eastAsia="仿宋_GB2312" w:cs="宋体"/>
          <w:sz w:val="32"/>
          <w:szCs w:val="32"/>
          <w:lang w:bidi="ar"/>
        </w:rPr>
        <w:t>〔202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 w:bidi="ar"/>
        </w:rPr>
        <w:t>5</w:t>
      </w:r>
      <w:r>
        <w:rPr>
          <w:rFonts w:hint="eastAsia" w:ascii="仿宋_GB2312" w:hAnsi="宋体" w:eastAsia="仿宋_GB2312" w:cs="宋体"/>
          <w:sz w:val="32"/>
          <w:szCs w:val="32"/>
          <w:lang w:bidi="ar"/>
        </w:rPr>
        <w:t>〕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 w:bidi="ar"/>
        </w:rPr>
        <w:t>82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号</w:t>
      </w:r>
    </w:p>
    <w:p w14:paraId="72A993B8">
      <w:pPr>
        <w:jc w:val="center"/>
      </w:pPr>
    </w:p>
    <w:p w14:paraId="413171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center"/>
        <w:textAlignment w:val="auto"/>
        <w:rPr>
          <w:rFonts w:hint="eastAsia"/>
          <w:sz w:val="36"/>
          <w:szCs w:val="28"/>
        </w:rPr>
      </w:pPr>
      <w:r>
        <w:rPr>
          <w:rFonts w:eastAsia="微软雅黑"/>
          <w:lang w:bidi="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29210</wp:posOffset>
                </wp:positionV>
                <wp:extent cx="5615940" cy="190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190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8.2pt;margin-top:2.3pt;height:0.15pt;width:442.2pt;z-index:251661312;mso-width-relative:page;mso-height-relative:page;" filled="f" stroked="t" coordsize="21600,21600" o:gfxdata="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brNlltYAAAAHAQAADwAAAAAAAAABACAAAAAiAAAAZHJzL2Rvd25yZXYueG1s&#10;UEsBAhQAFAAAAAgAh07iQCk/v3z6AQAA9gMAAA4AAAAAAAAAAQAgAAAAJQEAAGRycy9lMm9Eb2Mu&#10;eG1sUEsFBgAAAAAGAAYAWQEAAJEFAAAAAA=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6F2D4043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关于举办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  <w:lang w:val="en-US" w:eastAsia="zh-CN"/>
        </w:rPr>
        <w:t>建设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工程质量检测机构内审员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  <w:highlight w:val="none"/>
          <w:lang w:val="en-US" w:eastAsia="zh-CN"/>
        </w:rPr>
        <w:t>线上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培训的通知</w:t>
      </w:r>
    </w:p>
    <w:p w14:paraId="7F2352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68B8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各会员单位及相关检测机构：</w:t>
      </w:r>
    </w:p>
    <w:p w14:paraId="3A97A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为加强工程质量检测机构内部审核能力，提升质量管理体系运行水平，促进检测行业规范发展，根据年度工作安排，我协会定于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月举办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建设</w:t>
      </w:r>
      <w:r>
        <w:rPr>
          <w:rFonts w:hint="eastAsia" w:ascii="仿宋" w:hAnsi="仿宋" w:eastAsia="仿宋" w:cs="仿宋"/>
          <w:sz w:val="32"/>
          <w:szCs w:val="32"/>
        </w:rPr>
        <w:t>工程质量检测机构内审员培训。现将有关事项通知如下：</w:t>
      </w:r>
    </w:p>
    <w:p w14:paraId="481C0F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一、培训目的</w:t>
      </w:r>
    </w:p>
    <w:p w14:paraId="23D494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通过系统培训，使学员掌握内部审核的基本理论、流程与方法，具备独立开展内审工作的能力，确保检测机构质量管理体系持续符合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住建部57号令</w:t>
      </w:r>
      <w:r>
        <w:rPr>
          <w:rFonts w:hint="eastAsia" w:ascii="仿宋" w:hAnsi="仿宋" w:eastAsia="仿宋" w:cs="仿宋"/>
          <w:sz w:val="32"/>
          <w:szCs w:val="32"/>
        </w:rPr>
        <w:t>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建设工程质量检测管理办法</w:t>
      </w:r>
      <w:r>
        <w:rPr>
          <w:rFonts w:hint="eastAsia" w:ascii="仿宋" w:hAnsi="仿宋" w:eastAsia="仿宋" w:cs="仿宋"/>
          <w:sz w:val="32"/>
          <w:szCs w:val="32"/>
        </w:rPr>
        <w:t>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等法律法规、规范性文件</w:t>
      </w:r>
      <w:r>
        <w:rPr>
          <w:rFonts w:hint="eastAsia" w:ascii="仿宋" w:hAnsi="仿宋" w:eastAsia="仿宋" w:cs="仿宋"/>
          <w:sz w:val="32"/>
          <w:szCs w:val="32"/>
        </w:rPr>
        <w:t>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GB/T 27025-2019《检测和校准实验室能力的通用要求》等</w:t>
      </w:r>
      <w:r>
        <w:rPr>
          <w:rFonts w:hint="eastAsia" w:ascii="仿宋" w:hAnsi="仿宋" w:eastAsia="仿宋" w:cs="仿宋"/>
          <w:sz w:val="32"/>
          <w:szCs w:val="32"/>
        </w:rPr>
        <w:t>相关标准要求。</w:t>
      </w:r>
    </w:p>
    <w:p w14:paraId="0FE5D2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主讲老师、讲课</w:t>
      </w:r>
      <w:r>
        <w:rPr>
          <w:rFonts w:hint="eastAsia" w:ascii="黑体" w:hAnsi="黑体" w:eastAsia="黑体" w:cs="黑体"/>
          <w:sz w:val="32"/>
          <w:szCs w:val="32"/>
        </w:rPr>
        <w:t>内容</w:t>
      </w:r>
    </w:p>
    <w:p w14:paraId="7413C0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（一）讲课老师</w:t>
      </w:r>
    </w:p>
    <w:p w14:paraId="556C4E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冷元宝：博士、二级教授，国家检验检测机构资质认定主任评审员（师资），</w:t>
      </w:r>
      <w:r>
        <w:rPr>
          <w:rFonts w:hint="eastAsia" w:ascii="仿宋" w:hAnsi="仿宋" w:eastAsia="仿宋" w:cs="仿宋"/>
          <w:sz w:val="32"/>
          <w:szCs w:val="32"/>
        </w:rPr>
        <w:t>河南省建设工程质量监督检测行业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协会副会长兼资质认定与公共基础专委会主任，《检验检测机构资质认定内审员工作实务》等5本书主编，7部省部级标准第一起草人，获国家技术发明奖二等奖1项、省部级科技进步奖一等奖2项、二等奖3项，发表论文40余篇。</w:t>
      </w:r>
    </w:p>
    <w:p w14:paraId="2DA3F0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（二）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培训内容</w:t>
      </w:r>
    </w:p>
    <w:p w14:paraId="5A5B1D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《检测和校准实验室能力的通用要求》（GB/T 27025-2019）及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释义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 w14:paraId="70C553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内审员的基本要求，内部审核技巧及典型案例；</w:t>
      </w:r>
    </w:p>
    <w:p w14:paraId="574CB8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有效的管理评审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及</w:t>
      </w:r>
      <w:r>
        <w:rPr>
          <w:rFonts w:hint="eastAsia" w:ascii="仿宋" w:hAnsi="仿宋" w:eastAsia="仿宋" w:cs="仿宋"/>
          <w:sz w:val="32"/>
          <w:szCs w:val="32"/>
        </w:rPr>
        <w:t>典型案例；</w:t>
      </w:r>
    </w:p>
    <w:p w14:paraId="6B796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三、培训对象</w:t>
      </w:r>
    </w:p>
    <w:p w14:paraId="0BDA3D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各工程质量检测机构质量负责人、内审员、技术骨干及管理体系相关人员。</w:t>
      </w:r>
    </w:p>
    <w:p w14:paraId="718785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四、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培训</w:t>
      </w:r>
      <w:r>
        <w:rPr>
          <w:rFonts w:hint="eastAsia" w:ascii="黑体" w:hAnsi="黑体" w:eastAsia="黑体" w:cs="黑体"/>
          <w:sz w:val="32"/>
          <w:szCs w:val="32"/>
        </w:rPr>
        <w:t>时间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和</w:t>
      </w:r>
      <w:r>
        <w:rPr>
          <w:rFonts w:hint="eastAsia" w:ascii="黑体" w:hAnsi="黑体" w:eastAsia="黑体" w:cs="黑体"/>
          <w:sz w:val="32"/>
          <w:szCs w:val="32"/>
        </w:rPr>
        <w:t>方式</w:t>
      </w:r>
    </w:p>
    <w:p w14:paraId="653173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时间</w:t>
      </w:r>
    </w:p>
    <w:p w14:paraId="6E9E8B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1.报名缴费时间：2025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日至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随报随学。</w:t>
      </w:r>
    </w:p>
    <w:p w14:paraId="116078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请登录协会网站报名（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fldChar w:fldCharType="begin"/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instrText xml:space="preserve"> HYPERLINK "http://www.hnjsgczljdjc.com" </w:instrTex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fldChar w:fldCharType="separate"/>
      </w:r>
      <w:r>
        <w:rPr>
          <w:rStyle w:val="10"/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http://www.hnjsgczljdjc.com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fldChar w:fldCharType="end"/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）</w:t>
      </w:r>
    </w:p>
    <w:p w14:paraId="7AFCBB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2.考试时间：2025年1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2月22日9:00-10:00。</w:t>
      </w:r>
    </w:p>
    <w:p w14:paraId="4F5774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学习时扫下方学习二维码，考试扫考试二维码。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338455</wp:posOffset>
            </wp:positionH>
            <wp:positionV relativeFrom="paragraph">
              <wp:posOffset>360680</wp:posOffset>
            </wp:positionV>
            <wp:extent cx="4592320" cy="1989455"/>
            <wp:effectExtent l="0" t="0" r="5080" b="4445"/>
            <wp:wrapSquare wrapText="bothSides"/>
            <wp:docPr id="1" name="图片 1" descr="微信图片_20251113165720_250_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1113165720_250_16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92320" cy="198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70CF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五、培训费、缴费方式</w:t>
      </w:r>
    </w:p>
    <w:p w14:paraId="150253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（一）培训费：500元/人</w:t>
      </w:r>
    </w:p>
    <w:p w14:paraId="24A4F4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（二）缴费方式：转账至协会账户</w:t>
      </w:r>
    </w:p>
    <w:p w14:paraId="550306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户 名：河南省建设工程质量监督检测行业协会</w:t>
      </w:r>
    </w:p>
    <w:p w14:paraId="3A360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账 号：41001523013050200939</w:t>
      </w:r>
    </w:p>
    <w:p w14:paraId="3B666E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开户行：建行郑州金水支行营业部</w:t>
      </w:r>
    </w:p>
    <w:p w14:paraId="49EDAF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六、其他事项</w:t>
      </w:r>
    </w:p>
    <w:p w14:paraId="49FE08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（一）培训结束后统一组织考核，合格者颁发内审员培训合格证书。</w:t>
      </w:r>
    </w:p>
    <w:p w14:paraId="71FB0D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（二）本次为线上培训，为确保人员按时参加学习和考试，报名时的手机号应实名认证，并与本人的微信号绑定。</w:t>
      </w:r>
    </w:p>
    <w:p w14:paraId="26AF8C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（三）扫码考试时，应按要求正确填写个人信息，以免影响考核结果和考核证书的有效发放。</w:t>
      </w:r>
    </w:p>
    <w:p w14:paraId="66416D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（四）单位应按要求认真填写附件《2025年内审员培训报名缴费确认表》，并将转账凭证、附件发至协会指定邮箱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jcxhhyfwb@163.com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。</w:t>
      </w:r>
    </w:p>
    <w:p w14:paraId="19084C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七、联系电话</w:t>
      </w:r>
    </w:p>
    <w:p w14:paraId="0B5775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1.培训业务咨询</w:t>
      </w:r>
    </w:p>
    <w:p w14:paraId="5BDEB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会员服务部：0371-63863829</w:t>
      </w:r>
    </w:p>
    <w:p w14:paraId="13E752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周 静：15138949509  时 磊：13603829155</w:t>
      </w:r>
    </w:p>
    <w:p w14:paraId="694A88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2.缴费咨询</w:t>
      </w:r>
    </w:p>
    <w:p w14:paraId="2CC11F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综合办公室：0371-65280218</w:t>
      </w:r>
    </w:p>
    <w:p w14:paraId="45FB9D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胡文娟：15837164302</w:t>
      </w:r>
    </w:p>
    <w:p w14:paraId="55924D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3.报名咨询</w:t>
      </w:r>
    </w:p>
    <w:p w14:paraId="04D8E8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行业发展部：0371-63863837</w:t>
      </w:r>
    </w:p>
    <w:p w14:paraId="03FC3D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王梦琪：18738170338</w:t>
      </w:r>
    </w:p>
    <w:p w14:paraId="44BE51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2D9795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附件：2025年内审员培训报名缴费回执表</w:t>
      </w:r>
    </w:p>
    <w:p w14:paraId="35A06DC6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 w:firstLineChars="0"/>
        <w:jc w:val="left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5"/>
          <w:kern w:val="0"/>
          <w:sz w:val="44"/>
          <w:szCs w:val="44"/>
          <w:u w:val="none"/>
          <w:lang w:val="en-US" w:eastAsia="zh-CN" w:bidi="ar"/>
        </w:rPr>
      </w:pPr>
    </w:p>
    <w:p w14:paraId="73B2BA90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120" w:firstLineChars="16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2025年12月11日</w:t>
      </w:r>
    </w:p>
    <w:p w14:paraId="2911ADE2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5120" w:firstLineChars="16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</w:p>
    <w:p w14:paraId="3864354A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5120" w:firstLineChars="16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</w:p>
    <w:p w14:paraId="5CE34610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5120" w:firstLineChars="16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</w:p>
    <w:p w14:paraId="2F25C8D5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5120" w:firstLineChars="16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</w:p>
    <w:p w14:paraId="4DC5A9EF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5120" w:firstLineChars="16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</w:p>
    <w:p w14:paraId="2C6673DC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5120" w:firstLineChars="1600"/>
        <w:jc w:val="left"/>
        <w:textAlignment w:val="auto"/>
        <w:rPr>
          <w:rFonts w:hint="default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</w:p>
    <w:p w14:paraId="70BE08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13907225">
      <w:pPr>
        <w:keepNext w:val="0"/>
        <w:keepLines w:val="0"/>
        <w:widowControl/>
        <w:suppressLineNumbers w:val="0"/>
        <w:jc w:val="left"/>
        <w:textAlignment w:val="top"/>
        <w:rPr>
          <w:rFonts w:hint="eastAsia" w:ascii="黑体" w:hAnsi="黑体" w:eastAsia="黑体" w:cs="黑体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sectPr>
          <w:footerReference r:id="rId3" w:type="default"/>
          <w:pgSz w:w="11906" w:h="16838"/>
          <w:pgMar w:top="1440" w:right="1803" w:bottom="1440" w:left="1803" w:header="851" w:footer="992" w:gutter="0"/>
          <w:pgNumType w:fmt="decimal"/>
          <w:cols w:space="0" w:num="1"/>
          <w:rtlGutter w:val="0"/>
          <w:docGrid w:type="lines" w:linePitch="319" w:charSpace="0"/>
        </w:sectPr>
      </w:pPr>
    </w:p>
    <w:tbl>
      <w:tblPr>
        <w:tblStyle w:val="8"/>
        <w:tblW w:w="13992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7"/>
        <w:gridCol w:w="4829"/>
        <w:gridCol w:w="2179"/>
        <w:gridCol w:w="4817"/>
      </w:tblGrid>
      <w:tr w14:paraId="73096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3992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D0D530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  <w:p w14:paraId="0F467F5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aps w:val="0"/>
                <w:color w:val="auto"/>
                <w:spacing w:val="5"/>
                <w:kern w:val="0"/>
                <w:sz w:val="40"/>
                <w:szCs w:val="40"/>
                <w:u w:val="none"/>
                <w:lang w:val="en-US" w:eastAsia="zh-CN" w:bidi="ar"/>
              </w:rPr>
              <w:t>2025年内审员培训报名缴费回执表</w:t>
            </w:r>
          </w:p>
        </w:tc>
      </w:tr>
      <w:tr w14:paraId="32A03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39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FA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报名单位：                             联系人：             联系电话：</w:t>
            </w:r>
          </w:p>
        </w:tc>
      </w:tr>
      <w:tr w14:paraId="27B8C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2F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缴费人数（个）</w:t>
            </w: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10FA8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1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DBBB9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缴费金额（元）</w:t>
            </w:r>
          </w:p>
        </w:tc>
        <w:tc>
          <w:tcPr>
            <w:tcW w:w="48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8F0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4CE6D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39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07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开发票详情</w:t>
            </w: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FF0000"/>
                <w:kern w:val="0"/>
                <w:sz w:val="32"/>
                <w:szCs w:val="32"/>
                <w:u w:val="none"/>
                <w:lang w:val="en-US" w:eastAsia="zh-CN" w:bidi="ar"/>
              </w:rPr>
              <w:t>（默认普票）</w:t>
            </w:r>
          </w:p>
        </w:tc>
      </w:tr>
      <w:tr w14:paraId="10B1C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39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CB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开票名称（必填）：</w:t>
            </w:r>
          </w:p>
        </w:tc>
      </w:tr>
      <w:tr w14:paraId="1C06E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39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20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税号（必填）：</w:t>
            </w:r>
          </w:p>
        </w:tc>
      </w:tr>
      <w:tr w14:paraId="5C76D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39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B5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开户行及账号（选填）：</w:t>
            </w:r>
          </w:p>
        </w:tc>
      </w:tr>
      <w:tr w14:paraId="41825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39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03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地址、电话（选填）：</w:t>
            </w:r>
          </w:p>
        </w:tc>
      </w:tr>
      <w:tr w14:paraId="18864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39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2E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收发票人手机号及邮箱号（必填）：</w:t>
            </w:r>
          </w:p>
        </w:tc>
      </w:tr>
    </w:tbl>
    <w:p w14:paraId="1C0E7E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300" w:lineRule="exact"/>
        <w:jc w:val="left"/>
        <w:textAlignment w:val="center"/>
        <w:rPr>
          <w:rFonts w:hint="eastAsia" w:ascii="仿宋" w:hAnsi="仿宋" w:eastAsia="仿宋" w:cs="方正仿宋_GB18030"/>
          <w:b/>
          <w:bCs/>
          <w:color w:val="auto"/>
          <w:sz w:val="26"/>
          <w:szCs w:val="22"/>
        </w:rPr>
      </w:pPr>
    </w:p>
    <w:p w14:paraId="020C0B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300" w:lineRule="exact"/>
        <w:jc w:val="left"/>
        <w:textAlignment w:val="center"/>
        <w:rPr>
          <w:rFonts w:hint="eastAsia" w:ascii="仿宋" w:hAnsi="仿宋" w:eastAsia="仿宋" w:cs="方正仿宋_GB18030"/>
          <w:b/>
          <w:bCs/>
          <w:color w:val="auto"/>
          <w:sz w:val="26"/>
          <w:szCs w:val="22"/>
        </w:rPr>
      </w:pPr>
      <w:r>
        <w:rPr>
          <w:rFonts w:hint="eastAsia" w:ascii="仿宋" w:hAnsi="仿宋" w:eastAsia="仿宋" w:cs="方正仿宋_GB18030"/>
          <w:b/>
          <w:bCs/>
          <w:color w:val="auto"/>
          <w:sz w:val="26"/>
          <w:szCs w:val="22"/>
        </w:rPr>
        <w:t>说明：1.培训费请转账至协会账号</w:t>
      </w:r>
      <w:r>
        <w:rPr>
          <w:rFonts w:hint="eastAsia" w:ascii="仿宋" w:hAnsi="仿宋" w:eastAsia="仿宋" w:cs="方正仿宋_GB18030"/>
          <w:b/>
          <w:bCs/>
          <w:color w:val="auto"/>
          <w:sz w:val="26"/>
          <w:szCs w:val="22"/>
          <w:lang w:eastAsia="zh-CN"/>
        </w:rPr>
        <w:t>，</w:t>
      </w:r>
      <w:r>
        <w:rPr>
          <w:rFonts w:hint="eastAsia" w:ascii="仿宋" w:hAnsi="仿宋" w:eastAsia="仿宋" w:cs="方正仿宋_GB18030"/>
          <w:b/>
          <w:bCs/>
          <w:color w:val="auto"/>
          <w:sz w:val="26"/>
          <w:szCs w:val="22"/>
        </w:rPr>
        <w:t>协会开户名称：河南省建设工程质量监督检测行业协会</w:t>
      </w:r>
    </w:p>
    <w:p w14:paraId="446690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300" w:lineRule="exact"/>
        <w:ind w:firstLine="1040"/>
        <w:jc w:val="left"/>
        <w:textAlignment w:val="center"/>
        <w:rPr>
          <w:rFonts w:hint="eastAsia" w:ascii="仿宋" w:hAnsi="仿宋" w:eastAsia="仿宋" w:cs="方正仿宋_GB18030"/>
          <w:b/>
          <w:bCs/>
          <w:color w:val="auto"/>
          <w:sz w:val="26"/>
          <w:szCs w:val="22"/>
          <w:lang w:val="en-US" w:eastAsia="zh-CN"/>
        </w:rPr>
      </w:pPr>
      <w:r>
        <w:rPr>
          <w:rFonts w:hint="eastAsia" w:ascii="仿宋" w:hAnsi="仿宋" w:eastAsia="仿宋" w:cs="方正仿宋_GB18030"/>
          <w:b/>
          <w:bCs/>
          <w:color w:val="auto"/>
          <w:sz w:val="26"/>
          <w:szCs w:val="22"/>
          <w:lang w:val="en-US" w:eastAsia="zh-CN"/>
        </w:rPr>
        <w:t>开户行：建行郑州金水支行营业部；</w:t>
      </w:r>
    </w:p>
    <w:p w14:paraId="354084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300" w:lineRule="exact"/>
        <w:ind w:firstLine="1040"/>
        <w:jc w:val="left"/>
        <w:textAlignment w:val="center"/>
        <w:rPr>
          <w:rFonts w:hint="eastAsia" w:ascii="仿宋" w:hAnsi="仿宋" w:eastAsia="仿宋" w:cs="方正仿宋_GB18030"/>
          <w:b/>
          <w:bCs/>
          <w:color w:val="auto"/>
          <w:sz w:val="26"/>
          <w:szCs w:val="22"/>
        </w:rPr>
      </w:pPr>
      <w:r>
        <w:rPr>
          <w:rFonts w:hint="eastAsia" w:ascii="仿宋" w:hAnsi="仿宋" w:eastAsia="仿宋" w:cs="方正仿宋_GB18030"/>
          <w:b/>
          <w:bCs/>
          <w:color w:val="auto"/>
          <w:sz w:val="26"/>
          <w:szCs w:val="22"/>
        </w:rPr>
        <w:t>协会银行账号：41001523013050200939；</w:t>
      </w:r>
    </w:p>
    <w:p w14:paraId="580BC19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00" w:lineRule="exact"/>
        <w:ind w:firstLine="783" w:firstLineChars="300"/>
        <w:jc w:val="left"/>
        <w:textAlignment w:val="center"/>
        <w:rPr>
          <w:rFonts w:hint="eastAsia" w:ascii="黑体" w:hAnsi="黑体" w:eastAsia="黑体" w:cs="方正仿宋_GB18030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方正仿宋_GB18030"/>
          <w:b/>
          <w:bCs/>
          <w:color w:val="auto"/>
          <w:kern w:val="2"/>
          <w:sz w:val="26"/>
          <w:szCs w:val="22"/>
          <w:lang w:val="en-US" w:eastAsia="zh-CN" w:bidi="ar-SA"/>
        </w:rPr>
        <w:t>2.</w:t>
      </w:r>
      <w:r>
        <w:rPr>
          <w:rFonts w:hint="eastAsia" w:ascii="仿宋" w:hAnsi="仿宋" w:eastAsia="仿宋" w:cs="方正仿宋_GB18030"/>
          <w:b/>
          <w:bCs/>
          <w:color w:val="auto"/>
          <w:sz w:val="26"/>
          <w:szCs w:val="22"/>
        </w:rPr>
        <w:t>转账时请注明</w:t>
      </w:r>
      <w:r>
        <w:rPr>
          <w:rFonts w:hint="eastAsia" w:ascii="仿宋" w:hAnsi="仿宋" w:eastAsia="仿宋" w:cs="方正仿宋_GB18030"/>
          <w:b/>
          <w:bCs/>
          <w:color w:val="auto"/>
          <w:sz w:val="26"/>
          <w:szCs w:val="22"/>
          <w:lang w:eastAsia="zh-CN"/>
        </w:rPr>
        <w:t>：</w:t>
      </w:r>
      <w:r>
        <w:rPr>
          <w:rFonts w:hint="eastAsia" w:ascii="仿宋" w:hAnsi="仿宋" w:eastAsia="仿宋" w:cs="方正仿宋_GB18030"/>
          <w:b/>
          <w:bCs/>
          <w:color w:val="auto"/>
          <w:sz w:val="26"/>
          <w:szCs w:val="22"/>
          <w:lang w:val="en-US" w:eastAsia="zh-CN"/>
        </w:rPr>
        <w:t>内审员</w:t>
      </w:r>
      <w:r>
        <w:rPr>
          <w:rFonts w:hint="eastAsia" w:ascii="仿宋" w:hAnsi="仿宋" w:eastAsia="仿宋" w:cs="方正仿宋_GB18030"/>
          <w:b/>
          <w:bCs/>
          <w:color w:val="auto"/>
          <w:sz w:val="26"/>
          <w:szCs w:val="22"/>
        </w:rPr>
        <w:t>培训；若个人转账请备注单位名称</w:t>
      </w:r>
      <w:r>
        <w:rPr>
          <w:rFonts w:hint="eastAsia" w:ascii="仿宋" w:hAnsi="仿宋" w:eastAsia="仿宋" w:cs="方正仿宋_GB18030"/>
          <w:b/>
          <w:bCs/>
          <w:color w:val="auto"/>
          <w:sz w:val="26"/>
          <w:szCs w:val="22"/>
          <w:lang w:eastAsia="zh-CN"/>
        </w:rPr>
        <w:t>。</w:t>
      </w:r>
    </w:p>
    <w:p w14:paraId="6DF545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300" w:lineRule="exact"/>
        <w:ind w:firstLine="780"/>
        <w:jc w:val="left"/>
        <w:textAlignment w:val="center"/>
        <w:rPr>
          <w:rFonts w:hint="eastAsia" w:ascii="仿宋" w:hAnsi="仿宋" w:eastAsia="仿宋" w:cs="方正仿宋_GB18030"/>
          <w:b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方正仿宋_GB18030"/>
          <w:b/>
          <w:bCs w:val="0"/>
          <w:color w:val="auto"/>
          <w:sz w:val="28"/>
          <w:szCs w:val="28"/>
          <w:lang w:val="en-US" w:eastAsia="zh-CN"/>
        </w:rPr>
        <w:t>3.会员服务部邮箱：jcxhhyfwb@163.com</w:t>
      </w:r>
    </w:p>
    <w:p w14:paraId="7F504646">
      <w:pPr>
        <w:bidi w:val="0"/>
        <w:rPr>
          <w:sz w:val="32"/>
          <w:szCs w:val="40"/>
        </w:rPr>
      </w:pPr>
    </w:p>
    <w:sectPr>
      <w:pgSz w:w="16838" w:h="11906" w:orient="landscape"/>
      <w:pgMar w:top="1803" w:right="1440" w:bottom="1803" w:left="1440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1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5BFD7FC-0CBD-4B97-9271-7CD27E0051E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FAACF638-9AED-4881-AAE4-9278B3F1B77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D925288-B1E1-4AFC-BF33-3D3CE6A0776F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08EF4BA1-4D73-413D-AD4D-D362C1C5EA9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2084653E-A294-4177-9266-CEB71E18B050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6" w:fontKey="{9E569A4B-49A7-402D-A489-A63A30530FC4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7" w:fontKey="{6A3DE043-1583-4AEB-B586-64FC83702B73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8" w:fontKey="{2F167B8C-1664-456C-81F8-5C53EFC03428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9" w:fontKey="{55871F9C-86CF-460F-8BA3-315BB9B5E20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9685D9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3BC9F2">
                          <w:pPr>
                            <w:pStyle w:val="4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3BC9F2">
                    <w:pPr>
                      <w:pStyle w:val="4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975209"/>
    <w:rsid w:val="01067660"/>
    <w:rsid w:val="01503067"/>
    <w:rsid w:val="019B203D"/>
    <w:rsid w:val="01D902BD"/>
    <w:rsid w:val="03404E01"/>
    <w:rsid w:val="04A3012C"/>
    <w:rsid w:val="04C12C9C"/>
    <w:rsid w:val="05852631"/>
    <w:rsid w:val="05B43936"/>
    <w:rsid w:val="06ED3C3C"/>
    <w:rsid w:val="07082930"/>
    <w:rsid w:val="083E11BD"/>
    <w:rsid w:val="0AE33792"/>
    <w:rsid w:val="0AF74F2D"/>
    <w:rsid w:val="0B377CC3"/>
    <w:rsid w:val="0C2A77DF"/>
    <w:rsid w:val="0C7A6A36"/>
    <w:rsid w:val="0CD5067E"/>
    <w:rsid w:val="0CF57932"/>
    <w:rsid w:val="0DF84A63"/>
    <w:rsid w:val="10533A64"/>
    <w:rsid w:val="11684477"/>
    <w:rsid w:val="12AF219D"/>
    <w:rsid w:val="12E36BE9"/>
    <w:rsid w:val="12F15E61"/>
    <w:rsid w:val="130F0190"/>
    <w:rsid w:val="139006BC"/>
    <w:rsid w:val="13D4559F"/>
    <w:rsid w:val="146D70B2"/>
    <w:rsid w:val="14D87E9A"/>
    <w:rsid w:val="157558A2"/>
    <w:rsid w:val="15776C4B"/>
    <w:rsid w:val="17E05DED"/>
    <w:rsid w:val="18805ECA"/>
    <w:rsid w:val="1B203C3D"/>
    <w:rsid w:val="1B351FAC"/>
    <w:rsid w:val="1BE154C1"/>
    <w:rsid w:val="1C603A4B"/>
    <w:rsid w:val="1D393863"/>
    <w:rsid w:val="1F975209"/>
    <w:rsid w:val="1FD61FB0"/>
    <w:rsid w:val="20B961BA"/>
    <w:rsid w:val="21373104"/>
    <w:rsid w:val="21564E01"/>
    <w:rsid w:val="224D239C"/>
    <w:rsid w:val="22904CF4"/>
    <w:rsid w:val="24717B2C"/>
    <w:rsid w:val="2536437E"/>
    <w:rsid w:val="25E22D30"/>
    <w:rsid w:val="2650413E"/>
    <w:rsid w:val="26690A16"/>
    <w:rsid w:val="26E1123A"/>
    <w:rsid w:val="27C10DE8"/>
    <w:rsid w:val="2CC65E95"/>
    <w:rsid w:val="2F70526B"/>
    <w:rsid w:val="303F594F"/>
    <w:rsid w:val="30937A49"/>
    <w:rsid w:val="33F26834"/>
    <w:rsid w:val="353C7F7F"/>
    <w:rsid w:val="35867B7C"/>
    <w:rsid w:val="35D01D25"/>
    <w:rsid w:val="35F87F8B"/>
    <w:rsid w:val="35FB2318"/>
    <w:rsid w:val="371F5B92"/>
    <w:rsid w:val="37E963D1"/>
    <w:rsid w:val="393C0A41"/>
    <w:rsid w:val="3C430575"/>
    <w:rsid w:val="3D773CC6"/>
    <w:rsid w:val="3E4A0A1B"/>
    <w:rsid w:val="3E864749"/>
    <w:rsid w:val="425C413F"/>
    <w:rsid w:val="43082E88"/>
    <w:rsid w:val="44B84EAA"/>
    <w:rsid w:val="454113CA"/>
    <w:rsid w:val="47975C3D"/>
    <w:rsid w:val="48A44149"/>
    <w:rsid w:val="48C540C0"/>
    <w:rsid w:val="490E1F0B"/>
    <w:rsid w:val="4A153092"/>
    <w:rsid w:val="4A1B48DF"/>
    <w:rsid w:val="4A5E2A1E"/>
    <w:rsid w:val="4B644064"/>
    <w:rsid w:val="4C6F0F12"/>
    <w:rsid w:val="4C9B5863"/>
    <w:rsid w:val="4DB1646D"/>
    <w:rsid w:val="4E0538DC"/>
    <w:rsid w:val="4FA74FBE"/>
    <w:rsid w:val="52AE4A26"/>
    <w:rsid w:val="54F834E2"/>
    <w:rsid w:val="557465A8"/>
    <w:rsid w:val="58E10AA2"/>
    <w:rsid w:val="59F34F31"/>
    <w:rsid w:val="59F916C8"/>
    <w:rsid w:val="5AB2196F"/>
    <w:rsid w:val="5AF3378B"/>
    <w:rsid w:val="5E55122B"/>
    <w:rsid w:val="5E602E3F"/>
    <w:rsid w:val="5F0B6879"/>
    <w:rsid w:val="5FFD1688"/>
    <w:rsid w:val="60C2565D"/>
    <w:rsid w:val="64393087"/>
    <w:rsid w:val="65562818"/>
    <w:rsid w:val="65E55C69"/>
    <w:rsid w:val="65F938CF"/>
    <w:rsid w:val="66F81DD8"/>
    <w:rsid w:val="67A01206"/>
    <w:rsid w:val="67D22629"/>
    <w:rsid w:val="688D42CC"/>
    <w:rsid w:val="698F35D2"/>
    <w:rsid w:val="6991053F"/>
    <w:rsid w:val="6A1A448A"/>
    <w:rsid w:val="6ADA17F5"/>
    <w:rsid w:val="6C464C5F"/>
    <w:rsid w:val="6C6121CE"/>
    <w:rsid w:val="6D1C219E"/>
    <w:rsid w:val="6E8C04D5"/>
    <w:rsid w:val="6E9C6E2D"/>
    <w:rsid w:val="6F4F27B2"/>
    <w:rsid w:val="6F814972"/>
    <w:rsid w:val="6F841141"/>
    <w:rsid w:val="707324D0"/>
    <w:rsid w:val="71155335"/>
    <w:rsid w:val="718A34EE"/>
    <w:rsid w:val="71F238C8"/>
    <w:rsid w:val="72472A4D"/>
    <w:rsid w:val="728704B4"/>
    <w:rsid w:val="72BC3320"/>
    <w:rsid w:val="72EB459F"/>
    <w:rsid w:val="7380449E"/>
    <w:rsid w:val="73F94F64"/>
    <w:rsid w:val="743401C8"/>
    <w:rsid w:val="751853F4"/>
    <w:rsid w:val="75D752AF"/>
    <w:rsid w:val="763E62B3"/>
    <w:rsid w:val="767F74F6"/>
    <w:rsid w:val="76992564"/>
    <w:rsid w:val="77211BF6"/>
    <w:rsid w:val="77F008AA"/>
    <w:rsid w:val="78BE1364"/>
    <w:rsid w:val="78CB58B6"/>
    <w:rsid w:val="79825A8A"/>
    <w:rsid w:val="798D20A1"/>
    <w:rsid w:val="7C18217D"/>
    <w:rsid w:val="7C3C4AA1"/>
    <w:rsid w:val="7D985911"/>
    <w:rsid w:val="7DFB58B2"/>
    <w:rsid w:val="7F77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1"/>
    <w:next w:val="1"/>
    <w:unhideWhenUsed/>
    <w:qFormat/>
    <w:uiPriority w:val="99"/>
    <w:pPr>
      <w:ind w:firstLine="420" w:firstLineChars="200"/>
    </w:p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fda09693-2e57-431c-adc2-df3b61c7cf71</errorID>
      <errorWord>发布</errorWord>
      <group>L1_Word</group>
      <groupName>字词问题</groupName>
      <ability>L2_Typo</ability>
      <abilityName>字词错误</abilityName>
      <candidateList>
        <item>发表</item>
      </candidateList>
      <explain/>
      <paraID>556C4E06</paraID>
      <start>143</start>
      <end>145</end>
      <status>modified</status>
      <modifiedWord>发表</modifiedWord>
      <trackRevisions>false</trackRevisions>
    </reviewItem>
    <reviewItem>
      <errorID>0c8073aa-7559-47ef-8858-cba350898fe0</errorID>
      <errorWord>的</errorWord>
      <group>L1_Word</group>
      <groupName>字词问题</groupName>
      <ability>L2_DDD</ability>
      <abilityName>的地得用法</abilityName>
      <candidateList>
        <item>地</item>
      </candidateList>
      <explain>“地”常用于连接修饰语与动词性中心语，表示动作的方式、状态或程度。</explain>
      <paraID>574CB8E0</paraID>
      <start>4</start>
      <end>5</end>
      <status>ignored</status>
      <modifiedWord/>
      <trackRevisions>false</trackRevisions>
    </reviewItem>
    <reviewItem>
      <errorID>8b25f64a-06b3-454a-b41b-cf5ea1998d9c</errorID>
      <errorWord>登录</errorWord>
      <group>L1_AI</group>
      <groupName>深度校对</groupName>
      <ability>L2_AI_Grammar</ability>
      <abilityName>语法纠错</abilityName>
      <candidateList>
        <item>请登录</item>
      </candidateList>
      <explain/>
      <paraID>116078CE</paraID>
      <start>0</start>
      <end>3</end>
      <status>modified</status>
      <modifiedWord>请登录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43acf94-33ec-48cf-b1fb-3d40109610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1188</Words>
  <Characters>1442</Characters>
  <Lines>0</Lines>
  <Paragraphs>0</Paragraphs>
  <TotalTime>250</TotalTime>
  <ScaleCrop>false</ScaleCrop>
  <LinksUpToDate>false</LinksUpToDate>
  <CharactersWithSpaces>1492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2025-11-07T07:37:00Z</dcterms:created>
  <dc:creator>常乐</dc:creator>
  <cp:lastModifiedBy>胡文娟</cp:lastModifiedBy>
  <cp:lastPrinted>2025-11-14T02:14:00Z</cp:lastPrinted>
  <dcterms:modified xsi:type="dcterms:W3CDTF">2025-12-11T12:21:32Z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2A7D26B3F18D4A6EB5672C1F08DA3260_13</vt:lpwstr>
  </property>
  <property fmtid="{D5CDD505-2E9C-101B-9397-08002B2CF9AE}" pid="4" name="KSOTemplateDocerSaveRecord">
    <vt:lpwstr>eyJoZGlkIjoiZDUyOWMwNWExMDI1OTZlM2E2NDVmZDQyMDdhNjIwZDQiLCJ1c2VySWQiOiI0NDcyNDA2MDkifQ==</vt:lpwstr>
  </property>
</Properties>
</file>